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3B2207E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0739F" w:rsidRPr="00FA4FBF">
        <w:rPr>
          <w:rFonts w:ascii="Arial" w:hAnsi="Arial" w:cs="Arial"/>
          <w:b/>
        </w:rPr>
        <w:t>II/</w:t>
      </w:r>
      <w:r w:rsidR="0090739F">
        <w:rPr>
          <w:rFonts w:ascii="Arial" w:hAnsi="Arial" w:cs="Arial"/>
          <w:b/>
        </w:rPr>
        <w:t>128 Pacov – Lukavec, 1. stavba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>Mgr. Vítězslavem Schrekem</w:t>
      </w:r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72DAC8AD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90739F">
        <w:rPr>
          <w:rFonts w:ascii="Arial" w:eastAsia="MS Mincho" w:hAnsi="Arial" w:cs="Arial"/>
        </w:rPr>
        <w:t>Ing. Daniel Blaha</w:t>
      </w:r>
      <w:r w:rsidR="004A4427">
        <w:rPr>
          <w:rFonts w:ascii="Arial" w:eastAsia="MS Mincho" w:hAnsi="Arial" w:cs="Arial"/>
        </w:rPr>
        <w:t xml:space="preserve">, </w:t>
      </w:r>
      <w:r w:rsidR="004A4427" w:rsidRPr="00D5014C">
        <w:rPr>
          <w:rFonts w:ascii="Arial" w:eastAsia="MS Mincho" w:hAnsi="Arial" w:cs="Arial"/>
        </w:rPr>
        <w:t xml:space="preserve">Ing. </w:t>
      </w:r>
      <w:r w:rsidR="004A4427">
        <w:rPr>
          <w:rFonts w:ascii="Arial" w:eastAsia="MS Mincho" w:hAnsi="Arial" w:cs="Arial"/>
        </w:rPr>
        <w:t>Iveta Hartmanová Pavlů</w:t>
      </w:r>
    </w:p>
    <w:p w14:paraId="75051171" w14:textId="08277EE6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 w:rsidRPr="00CC06E8">
        <w:rPr>
          <w:rFonts w:ascii="Arial" w:hAnsi="Arial" w:cs="Arial"/>
        </w:rPr>
        <w:t>Komerční banka</w:t>
      </w:r>
      <w:r w:rsidR="00ED177F" w:rsidRPr="00CC06E8">
        <w:rPr>
          <w:rFonts w:ascii="Arial" w:hAnsi="Arial" w:cs="Arial"/>
        </w:rPr>
        <w:t>, a.s.</w:t>
      </w:r>
    </w:p>
    <w:p w14:paraId="5E7B1C40" w14:textId="1CE631CD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4C0A56">
        <w:rPr>
          <w:rFonts w:ascii="Arial" w:hAnsi="Arial" w:cs="Arial"/>
          <w:bCs/>
          <w:lang w:eastAsia="cs-CZ"/>
        </w:rPr>
        <w:t>123-6403810267/0100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519C07E5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C02BB1" w:rsidRPr="00FA4FBF">
        <w:rPr>
          <w:rFonts w:ascii="Arial" w:hAnsi="Arial" w:cs="Arial"/>
          <w:b/>
          <w:sz w:val="22"/>
        </w:rPr>
        <w:t>II/</w:t>
      </w:r>
      <w:r w:rsidR="00C02BB1">
        <w:rPr>
          <w:rFonts w:ascii="Arial" w:hAnsi="Arial" w:cs="Arial"/>
          <w:b/>
          <w:sz w:val="22"/>
        </w:rPr>
        <w:t>128 Pacov – Lukavec, 1. stavba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426FE11F" w14:textId="564CF8C5" w:rsidR="00D076E8" w:rsidRPr="00D076E8" w:rsidRDefault="00D076E8" w:rsidP="00D076E8">
      <w:pPr>
        <w:pStyle w:val="Zkladntextodsazen21"/>
        <w:ind w:left="0" w:firstLine="0"/>
        <w:rPr>
          <w:rFonts w:ascii="Arial" w:hAnsi="Arial" w:cs="Arial"/>
          <w:sz w:val="22"/>
        </w:rPr>
      </w:pPr>
      <w:r w:rsidRPr="00D076E8">
        <w:rPr>
          <w:rFonts w:ascii="Arial" w:hAnsi="Arial" w:cs="Arial"/>
          <w:sz w:val="22"/>
        </w:rPr>
        <w:t>Stavba bude realizována dle projektové dokumentace „II/128 Pacov – Lukavec, 1. stavba“ vypracované ve stupni PDPS společností PUDIS a.s.</w:t>
      </w:r>
      <w:r w:rsidR="00A80B1C">
        <w:rPr>
          <w:rFonts w:ascii="Arial" w:hAnsi="Arial" w:cs="Arial"/>
          <w:sz w:val="22"/>
        </w:rPr>
        <w:t xml:space="preserve">, </w:t>
      </w:r>
      <w:r w:rsidRPr="00D076E8">
        <w:rPr>
          <w:rFonts w:ascii="Arial" w:hAnsi="Arial" w:cs="Arial"/>
          <w:sz w:val="22"/>
        </w:rPr>
        <w:t xml:space="preserve"> </w:t>
      </w:r>
      <w:r w:rsidR="00A80B1C" w:rsidRPr="00A80B1C">
        <w:rPr>
          <w:rFonts w:ascii="Arial" w:hAnsi="Arial" w:cs="Arial"/>
          <w:sz w:val="22"/>
        </w:rPr>
        <w:t>Podbabská 1014/20, 160 00 Praha 6, IČO 45272891 v červnu 2019</w:t>
      </w:r>
      <w:r w:rsidRPr="00D076E8">
        <w:rPr>
          <w:rFonts w:ascii="Arial" w:eastAsia="MS Mincho" w:hAnsi="Arial" w:cs="Arial"/>
          <w:sz w:val="22"/>
        </w:rPr>
        <w:t xml:space="preserve">. </w:t>
      </w:r>
    </w:p>
    <w:p w14:paraId="215677D1" w14:textId="347DF254" w:rsidR="00F80847" w:rsidRPr="00D076E8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D076E8">
        <w:rPr>
          <w:rFonts w:ascii="Arial" w:hAnsi="Arial" w:cs="Arial"/>
          <w:sz w:val="22"/>
        </w:rPr>
        <w:t xml:space="preserve"> </w:t>
      </w:r>
    </w:p>
    <w:p w14:paraId="69ED9DC2" w14:textId="1009E90B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</w:t>
      </w:r>
      <w:r w:rsidR="00D076E8">
        <w:rPr>
          <w:rFonts w:ascii="Arial" w:hAnsi="Arial" w:cs="Arial"/>
          <w:spacing w:val="-2"/>
          <w:sz w:val="22"/>
        </w:rPr>
        <w:t>ovolení uzavírky na silnici II/128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D1921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2203B88D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</w:t>
      </w:r>
      <w:r w:rsidR="001C5A45">
        <w:rPr>
          <w:rFonts w:ascii="Arial" w:hAnsi="Arial" w:cs="Arial"/>
        </w:rPr>
        <w:t xml:space="preserve"> </w:t>
      </w:r>
      <w:r w:rsidR="001C5A45" w:rsidRPr="00E4328A">
        <w:rPr>
          <w:rFonts w:ascii="Arial" w:hAnsi="Arial" w:cs="Arial"/>
        </w:rPr>
        <w:t>s vyloučením veškeré dopravy.</w:t>
      </w:r>
    </w:p>
    <w:p w14:paraId="165278AA" w14:textId="1956E692" w:rsidR="00032193" w:rsidRDefault="00032193" w:rsidP="003C1A14">
      <w:pPr>
        <w:spacing w:line="264" w:lineRule="auto"/>
        <w:jc w:val="both"/>
        <w:rPr>
          <w:rFonts w:ascii="Arial" w:hAnsi="Arial" w:cs="Arial"/>
        </w:rPr>
      </w:pPr>
    </w:p>
    <w:p w14:paraId="35D82450" w14:textId="2CEFFE6B" w:rsidR="00032193" w:rsidRDefault="00032193" w:rsidP="003C1A14">
      <w:pPr>
        <w:spacing w:line="264" w:lineRule="auto"/>
        <w:jc w:val="both"/>
        <w:rPr>
          <w:rFonts w:ascii="Arial" w:hAnsi="Arial" w:cs="Arial"/>
        </w:rPr>
      </w:pPr>
      <w:r w:rsidRPr="0061082A">
        <w:rPr>
          <w:rFonts w:ascii="Arial" w:hAnsi="Arial" w:cs="Arial"/>
        </w:rPr>
        <w:t>Zhotovitel bude koordinovat práce spojené s realizací stavebních objektů překládek inženýrských sítí společnosti EG.D, a.s. (původně E.ON Distribuce, a.s.</w:t>
      </w:r>
      <w:r w:rsidR="002F5709" w:rsidRPr="0061082A">
        <w:rPr>
          <w:rFonts w:ascii="Arial" w:hAnsi="Arial" w:cs="Arial"/>
        </w:rPr>
        <w:t>, SO 401</w:t>
      </w:r>
      <w:r w:rsidRPr="0061082A">
        <w:rPr>
          <w:rFonts w:ascii="Arial" w:hAnsi="Arial" w:cs="Arial"/>
        </w:rPr>
        <w:t>)</w:t>
      </w:r>
      <w:r w:rsidR="00102493" w:rsidRPr="0061082A">
        <w:rPr>
          <w:rFonts w:ascii="Arial" w:hAnsi="Arial" w:cs="Arial"/>
        </w:rPr>
        <w:t>.</w:t>
      </w:r>
      <w:r w:rsidRPr="0061082A">
        <w:rPr>
          <w:rFonts w:ascii="Arial" w:hAnsi="Arial" w:cs="Arial"/>
        </w:rPr>
        <w:t xml:space="preserve"> </w:t>
      </w:r>
      <w:r w:rsidR="00102493" w:rsidRPr="0061082A">
        <w:rPr>
          <w:rFonts w:ascii="Arial" w:hAnsi="Arial" w:cs="Arial"/>
        </w:rPr>
        <w:t xml:space="preserve">Překládku SO 401 </w:t>
      </w:r>
      <w:r w:rsidR="002F5709" w:rsidRPr="0061082A">
        <w:rPr>
          <w:rFonts w:ascii="Arial" w:hAnsi="Arial" w:cs="Arial"/>
        </w:rPr>
        <w:t>bude zajišťovat správce inženýrských sítí a není předmětem veřejné zakázky</w:t>
      </w:r>
      <w:r w:rsidR="002F5709" w:rsidRPr="00CC06E8">
        <w:rPr>
          <w:rFonts w:ascii="Arial" w:hAnsi="Arial" w:cs="Arial"/>
        </w:rPr>
        <w:t>. Zhotovitel musí tyto činnosti s prováděcí firm</w:t>
      </w:r>
      <w:r w:rsidR="00CC06E8" w:rsidRPr="00CC06E8">
        <w:rPr>
          <w:rFonts w:ascii="Arial" w:hAnsi="Arial" w:cs="Arial"/>
        </w:rPr>
        <w:t>ou</w:t>
      </w:r>
      <w:r w:rsidR="002F5709" w:rsidRPr="00CC06E8">
        <w:rPr>
          <w:rFonts w:ascii="Arial" w:hAnsi="Arial" w:cs="Arial"/>
        </w:rPr>
        <w:t xml:space="preserve"> koordinovat</w:t>
      </w:r>
      <w:bookmarkStart w:id="1" w:name="_GoBack"/>
      <w:bookmarkEnd w:id="1"/>
      <w:r w:rsidR="00102493" w:rsidRPr="00CC06E8">
        <w:rPr>
          <w:rFonts w:ascii="Arial" w:hAnsi="Arial" w:cs="Arial"/>
        </w:rPr>
        <w:t>.</w:t>
      </w:r>
    </w:p>
    <w:p w14:paraId="4C105418" w14:textId="67373643" w:rsidR="00CB6034" w:rsidRDefault="00CB6034" w:rsidP="003C1A14">
      <w:pPr>
        <w:spacing w:line="264" w:lineRule="auto"/>
        <w:jc w:val="both"/>
        <w:rPr>
          <w:rFonts w:ascii="Arial" w:hAnsi="Arial" w:cs="Arial"/>
        </w:rPr>
      </w:pPr>
    </w:p>
    <w:p w14:paraId="035F745C" w14:textId="77777777" w:rsidR="001C5A45" w:rsidRPr="00D37AF0" w:rsidRDefault="001C5A45" w:rsidP="001C5A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D37AF0">
        <w:rPr>
          <w:rFonts w:ascii="Arial" w:hAnsi="Arial" w:cs="Arial"/>
          <w:b w:val="0"/>
          <w:sz w:val="22"/>
          <w:szCs w:val="22"/>
        </w:rPr>
        <w:t xml:space="preserve">Vybraný dodavatel zajistí vytýčení lesních pozemků dočasného i trvalého záboru pro účely kácení a to do 15. 2. 2025. </w:t>
      </w:r>
    </w:p>
    <w:p w14:paraId="7FFFB0C7" w14:textId="77777777" w:rsidR="001C5A45" w:rsidRDefault="001C5A45" w:rsidP="001C5A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F2DCDD0" w14:textId="77777777" w:rsidR="001C5A45" w:rsidRDefault="001C5A45" w:rsidP="001C5A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D37AF0">
        <w:rPr>
          <w:rFonts w:ascii="Arial" w:hAnsi="Arial" w:cs="Arial"/>
          <w:b w:val="0"/>
          <w:sz w:val="22"/>
          <w:szCs w:val="22"/>
        </w:rPr>
        <w:t>Vybraný dodavatel zajistí vytýčení zemědělských pozemků dočasného i trvalého záboru před zahájením jarních osevů pro rok 2025 a to do 15. 3. 2025.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C29A578" w14:textId="77777777" w:rsidR="00CB6034" w:rsidRDefault="00CB6034" w:rsidP="003C1A14">
      <w:pPr>
        <w:spacing w:line="264" w:lineRule="auto"/>
        <w:jc w:val="both"/>
        <w:rPr>
          <w:rFonts w:ascii="Arial" w:hAnsi="Arial" w:cs="Arial"/>
        </w:rPr>
      </w:pPr>
    </w:p>
    <w:p w14:paraId="27B30814" w14:textId="1E6113BE" w:rsidR="005B1592" w:rsidRDefault="005B1592" w:rsidP="005B15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AE6BB7">
        <w:rPr>
          <w:rFonts w:ascii="Arial" w:hAnsi="Arial" w:cs="Arial"/>
        </w:rPr>
        <w:t>je povinen</w:t>
      </w:r>
      <w:r>
        <w:rPr>
          <w:rFonts w:ascii="Arial" w:hAnsi="Arial" w:cs="Arial"/>
        </w:rPr>
        <w:t xml:space="preserve"> pro veškerou komunikaci, včetně schvalování a předávání </w:t>
      </w:r>
      <w:r w:rsidRPr="00B70CD5">
        <w:rPr>
          <w:rFonts w:ascii="Arial" w:hAnsi="Arial" w:cs="Arial"/>
        </w:rPr>
        <w:t>dokumentů</w:t>
      </w:r>
      <w:r>
        <w:rPr>
          <w:rFonts w:ascii="Arial" w:hAnsi="Arial" w:cs="Arial"/>
        </w:rPr>
        <w:t xml:space="preserve"> </w:t>
      </w:r>
      <w:r w:rsidRPr="00AE6BB7">
        <w:rPr>
          <w:rFonts w:ascii="Arial" w:hAnsi="Arial" w:cs="Arial"/>
        </w:rPr>
        <w:t xml:space="preserve">využívat Společné datové prostředí </w:t>
      </w:r>
      <w:r>
        <w:rPr>
          <w:rFonts w:ascii="Arial" w:hAnsi="Arial" w:cs="Arial"/>
        </w:rPr>
        <w:t>(dále též „</w:t>
      </w:r>
      <w:r w:rsidRPr="00AE6BB7">
        <w:rPr>
          <w:rFonts w:ascii="Arial" w:hAnsi="Arial" w:cs="Arial"/>
        </w:rPr>
        <w:t>CDE</w:t>
      </w:r>
      <w:r>
        <w:rPr>
          <w:rFonts w:ascii="Arial" w:hAnsi="Arial" w:cs="Arial"/>
        </w:rPr>
        <w:t>“) zhotovitele.</w:t>
      </w:r>
    </w:p>
    <w:p w14:paraId="74CBEAE8" w14:textId="5BD03698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77D0870" w14:textId="77777777" w:rsidR="007D1921" w:rsidRPr="007D1921" w:rsidRDefault="007D1921" w:rsidP="00CC06E8">
      <w:pPr>
        <w:tabs>
          <w:tab w:val="right" w:pos="6804"/>
        </w:tabs>
        <w:spacing w:before="120"/>
        <w:jc w:val="both"/>
        <w:rPr>
          <w:rFonts w:ascii="Arial" w:hAnsi="Arial"/>
          <w:sz w:val="12"/>
          <w:szCs w:val="12"/>
          <w:u w:val="single"/>
        </w:rPr>
      </w:pPr>
    </w:p>
    <w:p w14:paraId="515BE3D2" w14:textId="43510D6E" w:rsidR="00F80847" w:rsidRPr="00F80847" w:rsidRDefault="0063578B" w:rsidP="00CC06E8">
      <w:pPr>
        <w:tabs>
          <w:tab w:val="right" w:pos="6804"/>
        </w:tabs>
        <w:spacing w:before="12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Silnice II/128 Pacov – Lukavec, 1. stavba</w:t>
      </w:r>
    </w:p>
    <w:p w14:paraId="5ADD6D73" w14:textId="77777777" w:rsidR="0063578B" w:rsidRPr="00A06F7F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000   </w:t>
      </w:r>
      <w:r w:rsidRPr="00A06F7F">
        <w:rPr>
          <w:rFonts w:ascii="Arial" w:hAnsi="Arial"/>
        </w:rPr>
        <w:t>Vedlejší a ostatní náklady</w:t>
      </w:r>
    </w:p>
    <w:p w14:paraId="7BBCC23F" w14:textId="77777777" w:rsidR="0063578B" w:rsidRPr="00A06F7F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001   Příprava území a zařízení staveniště</w:t>
      </w:r>
      <w:r>
        <w:rPr>
          <w:rFonts w:ascii="Arial" w:hAnsi="Arial"/>
        </w:rPr>
        <w:tab/>
      </w:r>
    </w:p>
    <w:p w14:paraId="1374D331" w14:textId="77777777" w:rsidR="0063578B" w:rsidRPr="00A06F7F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   Rekonstrukce silnice II/128 v km 4,540 – km 8,238</w:t>
      </w:r>
    </w:p>
    <w:p w14:paraId="03D6AC49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111   Úpravy stávajících sjezdů</w:t>
      </w:r>
    </w:p>
    <w:p w14:paraId="5D9C29CF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111.01   Úpravy stávajících sjezdů – 0,18492</w:t>
      </w:r>
    </w:p>
    <w:p w14:paraId="4AFCDA5E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111.02   Úpravy stávajících sjezdů – 0,21167</w:t>
      </w:r>
    </w:p>
    <w:p w14:paraId="61521EC4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111.03   Úpravy stávajících sjezdů – 0,29209</w:t>
      </w:r>
    </w:p>
    <w:p w14:paraId="26731E25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111.04   Úpravy stávajících sjezdů – 0,49071</w:t>
      </w:r>
    </w:p>
    <w:p w14:paraId="29583C39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111.05   Úpravy stávajících sjezdů – 0,70850</w:t>
      </w:r>
    </w:p>
    <w:p w14:paraId="390B14D3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111.06   Úpravy stávajících sjezdů – 0,71153</w:t>
      </w:r>
    </w:p>
    <w:p w14:paraId="792AAC61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111.07   Úpravy stávajících sjezdů – 0,97584</w:t>
      </w:r>
    </w:p>
    <w:p w14:paraId="7523FB3F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111.08   Úpravy stávajících sjezdů – 1,03712</w:t>
      </w:r>
    </w:p>
    <w:p w14:paraId="006AA364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111.09   Úpravy stávajících sjezdů – 1,45233</w:t>
      </w:r>
    </w:p>
    <w:p w14:paraId="160ADE6A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111.10   Úpravy stávajících sjezdů – 1,45313</w:t>
      </w:r>
    </w:p>
    <w:p w14:paraId="3A034CFE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111.11   Úpravy stávajících sjezdů – 2,18043 vpravo</w:t>
      </w:r>
    </w:p>
    <w:p w14:paraId="2BAD925D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111.12   Úpravy stávajících sjezdů – 2,18043 vlevo</w:t>
      </w:r>
    </w:p>
    <w:p w14:paraId="3CD4D31A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111.13   Úpravy stávajících sjezdů – 2,44605</w:t>
      </w:r>
    </w:p>
    <w:p w14:paraId="4BB353B4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111.14   Úpravy stávajících sjezdů – 2,52482</w:t>
      </w:r>
    </w:p>
    <w:p w14:paraId="399EF044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111.15   Úpravy stávajících sjezdů – 3,06766</w:t>
      </w:r>
    </w:p>
    <w:p w14:paraId="21742C4F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 SO 111.16   Úpravy stávajících sjezdů – 3,19943</w:t>
      </w:r>
    </w:p>
    <w:p w14:paraId="00D490BE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   SO 111.17   Úpravy stávajících sjezdů – 3,47945</w:t>
      </w:r>
    </w:p>
    <w:p w14:paraId="75C18BC8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181   DIO</w:t>
      </w:r>
    </w:p>
    <w:p w14:paraId="1D1C71CB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191   Trvalé dopravní značení</w:t>
      </w:r>
    </w:p>
    <w:p w14:paraId="67463A9B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451   Rezervní kabelové chráničky krajské optické sítě ROWANET v km 0,007</w:t>
      </w:r>
    </w:p>
    <w:p w14:paraId="0C433F8D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   Vegetační úpravy</w:t>
      </w:r>
    </w:p>
    <w:p w14:paraId="0AE9C5A3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831   Rekultivace stáv. Komunikací a ploch dočasného záboru</w:t>
      </w:r>
    </w:p>
    <w:p w14:paraId="454FC7A5" w14:textId="77777777" w:rsidR="0063578B" w:rsidRDefault="0063578B" w:rsidP="0063578B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14:paraId="20AADF15" w14:textId="1F7BC649" w:rsidR="0063578B" w:rsidRPr="00DD43CA" w:rsidRDefault="0063578B" w:rsidP="007D1921">
      <w:pPr>
        <w:tabs>
          <w:tab w:val="right" w:pos="6804"/>
        </w:tabs>
        <w:spacing w:before="120"/>
        <w:ind w:left="6096" w:hanging="6096"/>
        <w:jc w:val="both"/>
        <w:rPr>
          <w:rFonts w:ascii="Arial" w:hAnsi="Arial"/>
          <w:i/>
        </w:rPr>
      </w:pPr>
      <w:r w:rsidRPr="00DD43CA">
        <w:rPr>
          <w:rFonts w:ascii="Arial" w:hAnsi="Arial"/>
          <w:i/>
        </w:rPr>
        <w:t xml:space="preserve">SO 401   Úprava venkovního vedení 1x22 kV (EG.D) v km 0,275 SO 101 </w:t>
      </w:r>
      <w:r w:rsidR="007D1921" w:rsidRPr="007D1921">
        <w:rPr>
          <w:rFonts w:ascii="Arial" w:hAnsi="Arial"/>
          <w:i/>
        </w:rPr>
        <w:t>(není předmětem   zakázky - pouze koordinace se zhotovitelem přeložky)</w:t>
      </w:r>
    </w:p>
    <w:p w14:paraId="10AC30BC" w14:textId="34F3475A" w:rsidR="00226545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74050B6D" w14:textId="77777777" w:rsidR="0063578B" w:rsidRPr="00B1096B" w:rsidRDefault="0063578B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356D672A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</w:t>
      </w:r>
      <w:r w:rsidR="005B1592" w:rsidRPr="005B1592">
        <w:rPr>
          <w:spacing w:val="4"/>
        </w:rPr>
        <w:t xml:space="preserve"> </w:t>
      </w:r>
      <w:r w:rsidR="005B1592">
        <w:rPr>
          <w:spacing w:val="4"/>
        </w:rPr>
        <w:t>prostřednictvím</w:t>
      </w:r>
      <w:r w:rsidR="005B1592" w:rsidRPr="0049529B">
        <w:rPr>
          <w:spacing w:val="4"/>
        </w:rPr>
        <w:t xml:space="preserve"> CD</w:t>
      </w:r>
      <w:r w:rsidR="005B1592">
        <w:rPr>
          <w:spacing w:val="4"/>
        </w:rPr>
        <w:t>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1C3E7F">
        <w:rPr>
          <w:spacing w:val="-6"/>
        </w:rPr>
        <w:t xml:space="preserve">dozorem 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1C3E7F">
        <w:t>P</w:t>
      </w:r>
      <w:r w:rsidR="00452EA3">
        <w:t>“</w:t>
      </w:r>
      <w:r w:rsidR="006C1D3A" w:rsidRPr="0049529B">
        <w:t>)</w:t>
      </w:r>
      <w:r w:rsidR="0063578B">
        <w:t xml:space="preserve"> bude předložen koncept RDS </w:t>
      </w:r>
      <w:r w:rsidRPr="0049529B">
        <w:t xml:space="preserve">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47C6B599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>předána 4x v písemné podobě a</w:t>
      </w:r>
      <w:r w:rsidR="005B1592">
        <w:rPr>
          <w:rFonts w:cs="Arial"/>
          <w:szCs w:val="22"/>
        </w:rPr>
        <w:t xml:space="preserve"> </w:t>
      </w:r>
      <w:r w:rsidR="005B1592">
        <w:rPr>
          <w:spacing w:val="4"/>
        </w:rPr>
        <w:t>prostřednictvím</w:t>
      </w:r>
      <w:r w:rsidR="005B1592" w:rsidRPr="0049529B">
        <w:rPr>
          <w:spacing w:val="4"/>
        </w:rPr>
        <w:t xml:space="preserve"> CD</w:t>
      </w:r>
      <w:r w:rsidR="005B1592">
        <w:rPr>
          <w:spacing w:val="4"/>
        </w:rPr>
        <w:t>E</w:t>
      </w:r>
      <w:r w:rsidR="00F73D91" w:rsidRPr="00925A01">
        <w:rPr>
          <w:rFonts w:cs="Arial"/>
          <w:szCs w:val="22"/>
        </w:rPr>
        <w:t xml:space="preserve">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69DE1912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5B1592">
        <w:rPr>
          <w:spacing w:val="4"/>
        </w:rPr>
        <w:t>prostřednictvím</w:t>
      </w:r>
      <w:r w:rsidR="005B1592" w:rsidRPr="0049529B">
        <w:rPr>
          <w:spacing w:val="4"/>
        </w:rPr>
        <w:t xml:space="preserve"> CD</w:t>
      </w:r>
      <w:r w:rsidR="005B1592">
        <w:rPr>
          <w:spacing w:val="4"/>
        </w:rPr>
        <w:t>E</w:t>
      </w:r>
      <w:r w:rsidR="005B1592" w:rsidRPr="00925A01">
        <w:rPr>
          <w:rFonts w:cs="Arial"/>
          <w:spacing w:val="-6"/>
          <w:szCs w:val="22"/>
        </w:rPr>
        <w:t xml:space="preserve"> </w:t>
      </w:r>
      <w:r w:rsidR="005B1592">
        <w:rPr>
          <w:rFonts w:cs="Arial"/>
          <w:spacing w:val="-6"/>
          <w:szCs w:val="22"/>
        </w:rPr>
        <w:t xml:space="preserve">.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</w:t>
      </w:r>
      <w:r w:rsidR="0019010B" w:rsidRPr="00925A01">
        <w:rPr>
          <w:rFonts w:cs="Arial"/>
          <w:spacing w:val="-4"/>
          <w:szCs w:val="22"/>
        </w:rPr>
        <w:lastRenderedPageBreak/>
        <w:t xml:space="preserve">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2439DBD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88063B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1AB717F9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4F45C53C" w14:textId="77777777" w:rsidR="00A80B1C" w:rsidRDefault="00A80B1C" w:rsidP="00A80B1C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59A7B2DA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Pr="007C0F57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F7956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CC06E8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Pr="007C0F57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DA58EF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55663D5F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DA58EF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7C0F57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7C0F57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7C0F57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DA58EF" w:rsidRPr="007C0F57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4F346ABE" w14:textId="6AA1DECB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</w:t>
      </w:r>
    </w:p>
    <w:p w14:paraId="28EFDA09" w14:textId="5B89BA8B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7C0F57">
        <w:rPr>
          <w:rFonts w:ascii="Arial" w:hAnsi="Arial" w:cs="Arial"/>
        </w:rPr>
        <w:t xml:space="preserve">do </w:t>
      </w:r>
      <w:r w:rsidR="008124AB" w:rsidRPr="007C0F57">
        <w:rPr>
          <w:rFonts w:ascii="Arial" w:hAnsi="Arial" w:cs="Arial"/>
        </w:rPr>
        <w:t>3</w:t>
      </w:r>
      <w:r w:rsidR="00DA58EF" w:rsidRPr="007C0F57">
        <w:rPr>
          <w:rFonts w:ascii="Arial" w:hAnsi="Arial" w:cs="Arial"/>
        </w:rPr>
        <w:t>1. 03</w:t>
      </w:r>
      <w:r w:rsidR="000F7956" w:rsidRPr="007C0F57">
        <w:rPr>
          <w:rFonts w:ascii="Arial" w:hAnsi="Arial" w:cs="Arial"/>
        </w:rPr>
        <w:t>. 202</w:t>
      </w:r>
      <w:r w:rsidR="00DA58EF" w:rsidRPr="007C0F57">
        <w:rPr>
          <w:rFonts w:ascii="Arial" w:hAnsi="Arial" w:cs="Arial"/>
        </w:rPr>
        <w:t>6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4EC3D1CB" w14:textId="77777777" w:rsidR="00DA58EF" w:rsidRPr="009C7A79" w:rsidRDefault="00B57C09" w:rsidP="00DA58EF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</w:rPr>
        <w:t>Pozn.:</w:t>
      </w:r>
      <w:r w:rsidR="00DA58EF">
        <w:rPr>
          <w:rFonts w:ascii="Arial" w:hAnsi="Arial" w:cs="Arial"/>
        </w:rPr>
        <w:t xml:space="preserve"> </w:t>
      </w:r>
      <w:r w:rsidR="00DA58EF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DA58EF">
        <w:rPr>
          <w:rFonts w:ascii="Arial" w:hAnsi="Arial" w:cs="Arial"/>
          <w:spacing w:val="-4"/>
          <w:lang w:eastAsia="x-none"/>
        </w:rPr>
        <w:t>(tj. od 1. listopadu do 31. března) nebudou prováděny stavební práce, které by znemožnily provoz</w:t>
      </w:r>
      <w:r w:rsidR="00DA58EF" w:rsidRPr="005D488A">
        <w:rPr>
          <w:rFonts w:ascii="Arial" w:hAnsi="Arial" w:cs="Arial"/>
          <w:spacing w:val="-4"/>
          <w:lang w:eastAsia="x-none"/>
        </w:rPr>
        <w:t xml:space="preserve"> na pozemních komunikacích </w:t>
      </w:r>
      <w:r w:rsidR="00DA58EF">
        <w:rPr>
          <w:rFonts w:ascii="Arial" w:hAnsi="Arial" w:cs="Arial"/>
          <w:spacing w:val="-4"/>
          <w:lang w:eastAsia="x-none"/>
        </w:rPr>
        <w:t>a zimní údržbě</w:t>
      </w:r>
      <w:r w:rsidR="00DA58EF">
        <w:rPr>
          <w:rFonts w:ascii="Arial" w:hAnsi="Arial" w:cs="Arial"/>
          <w:lang w:eastAsia="x-none"/>
        </w:rPr>
        <w:t>.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3BD10791" w:rsidR="00F22302" w:rsidRDefault="00F22302" w:rsidP="00367984">
      <w:pPr>
        <w:jc w:val="both"/>
        <w:rPr>
          <w:rFonts w:ascii="Arial" w:hAnsi="Arial" w:cs="Arial"/>
        </w:rPr>
      </w:pPr>
    </w:p>
    <w:p w14:paraId="5D1C08CF" w14:textId="77777777" w:rsidR="00EA5074" w:rsidRPr="009A50B9" w:rsidRDefault="00EA5074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4D1114A7" w14:textId="77777777" w:rsidR="00417180" w:rsidRPr="009A50B9" w:rsidRDefault="00417180" w:rsidP="00417180">
      <w:pPr>
        <w:pStyle w:val="Bntext2"/>
        <w:tabs>
          <w:tab w:val="clear" w:pos="-1560"/>
        </w:tabs>
        <w:ind w:left="426"/>
        <w:textAlignment w:val="auto"/>
      </w:pP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lastRenderedPageBreak/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2E0D2D3C" w14:textId="77777777" w:rsidR="00EA5074" w:rsidRDefault="00EA5074">
      <w:pPr>
        <w:spacing w:before="120" w:after="120"/>
        <w:jc w:val="center"/>
        <w:rPr>
          <w:rFonts w:ascii="Arial" w:hAnsi="Arial" w:cs="Arial"/>
          <w:b/>
        </w:rPr>
      </w:pPr>
    </w:p>
    <w:p w14:paraId="43B6D052" w14:textId="2AD7A6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33FE881E" w:rsidR="00EB4CAA" w:rsidRPr="007D3EF9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>. 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 xml:space="preserve">Kromě povinných náležitostí je zhotovitel </w:t>
      </w:r>
      <w:r w:rsidRPr="007D3EF9">
        <w:rPr>
          <w:rFonts w:ascii="Arial" w:hAnsi="Arial" w:cs="Arial"/>
          <w:bCs/>
          <w:sz w:val="22"/>
        </w:rPr>
        <w:t>povinen uvádět v jednotlivých fakturách přesný název akc</w:t>
      </w:r>
      <w:r w:rsidR="00034C6D" w:rsidRPr="007D3EF9">
        <w:rPr>
          <w:rFonts w:ascii="Arial" w:hAnsi="Arial" w:cs="Arial"/>
          <w:bCs/>
          <w:sz w:val="22"/>
        </w:rPr>
        <w:t>e „</w:t>
      </w:r>
      <w:r w:rsidR="007D3EF9" w:rsidRPr="007D3EF9">
        <w:rPr>
          <w:rFonts w:ascii="Arial" w:hAnsi="Arial" w:cs="Arial"/>
          <w:sz w:val="22"/>
        </w:rPr>
        <w:t>II/128 Pacov – Lukavec, 1. stavba“.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</w:t>
      </w:r>
      <w:r w:rsidRPr="009A50B9">
        <w:rPr>
          <w:rFonts w:ascii="Arial" w:hAnsi="Arial" w:cs="Arial"/>
          <w:bCs/>
          <w:sz w:val="22"/>
        </w:rPr>
        <w:lastRenderedPageBreak/>
        <w:t xml:space="preserve">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lastRenderedPageBreak/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12013DF3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4980C9A4" w14:textId="77777777" w:rsidR="001D2628" w:rsidRDefault="001D2628" w:rsidP="001D2628">
      <w:pPr>
        <w:pStyle w:val="Odstavecseseznamem"/>
        <w:rPr>
          <w:rFonts w:ascii="Arial" w:hAnsi="Arial" w:cs="Arial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6D78740C" w14:textId="73699760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197DDE2A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>dle ust.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 xml:space="preserve">pro celou stavbu. </w:t>
      </w:r>
      <w:r w:rsidR="008A009E">
        <w:rPr>
          <w:rFonts w:ascii="Arial" w:hAnsi="Arial" w:cs="Arial"/>
          <w:sz w:val="22"/>
        </w:rPr>
        <w:t xml:space="preserve">Elektronický stavební deník zajistí </w:t>
      </w:r>
      <w:r w:rsidR="00D34003">
        <w:rPr>
          <w:rFonts w:ascii="Arial" w:hAnsi="Arial" w:cs="Arial"/>
          <w:sz w:val="22"/>
        </w:rPr>
        <w:t>objednate</w:t>
      </w:r>
      <w:r w:rsidR="008A009E">
        <w:rPr>
          <w:rFonts w:ascii="Arial" w:hAnsi="Arial" w:cs="Arial"/>
          <w:sz w:val="22"/>
        </w:rPr>
        <w:t>l.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17837E9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812A95">
        <w:rPr>
          <w:rFonts w:ascii="Arial" w:hAnsi="Arial" w:cs="Arial"/>
          <w:sz w:val="22"/>
        </w:rPr>
        <w:t>dozoru projektanta</w:t>
      </w:r>
      <w:r w:rsidRPr="009A50B9">
        <w:rPr>
          <w:rFonts w:ascii="Arial" w:hAnsi="Arial" w:cs="Arial"/>
          <w:sz w:val="22"/>
        </w:rPr>
        <w:t xml:space="preserve">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0966462F" w:rsidR="00B101F2" w:rsidRDefault="00081718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5B15ED" w:rsidRPr="00F83206">
        <w:rPr>
          <w:rFonts w:ascii="Arial" w:hAnsi="Arial" w:cs="Arial"/>
          <w:sz w:val="22"/>
        </w:rPr>
        <w:t>PUDIS a.s., Podbabská 1014/20, 160 00 Praha 6, IČO: 45272891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B46C52A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4F2A3F">
        <w:rPr>
          <w:rFonts w:ascii="Arial" w:hAnsi="Arial" w:cs="Arial"/>
          <w:sz w:val="22"/>
        </w:rPr>
        <w:t>ESD.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lastRenderedPageBreak/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AC5F67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>Dokument musí obsahovat povinné položky označující název stavby, smluvní strany, pořadové číslo a datum, zdůvodnění a popis změny, rozsah a způsob ocenění, rozsah a popis příloh vztahujících se k provedené změně, souhlas</w:t>
      </w:r>
      <w:r w:rsidR="001C3E7F">
        <w:rPr>
          <w:rFonts w:ascii="Arial" w:hAnsi="Arial" w:cs="Arial"/>
          <w:color w:val="000000"/>
          <w:sz w:val="22"/>
        </w:rPr>
        <w:t xml:space="preserve"> 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7E91B959" w14:textId="32C95D77" w:rsidR="009E050D" w:rsidRDefault="009E050D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</w:p>
    <w:p w14:paraId="0E7A6D2A" w14:textId="76A7FA80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4 </w:t>
      </w:r>
      <w:r w:rsidR="003012CD" w:rsidRPr="00152C50">
        <w:t>tištěných vyhotoveních</w:t>
      </w:r>
      <w:r w:rsidR="00FB20B9" w:rsidRPr="00152C50">
        <w:t xml:space="preserve"> a </w:t>
      </w:r>
      <w:r w:rsidR="009E050D">
        <w:t xml:space="preserve">prostřednictvím CDE </w:t>
      </w:r>
      <w:r w:rsidR="0047371E" w:rsidRPr="00152C50">
        <w:t>(viz</w:t>
      </w:r>
      <w:r w:rsidR="00FB20B9" w:rsidRPr="00152C50">
        <w:t xml:space="preserve"> </w:t>
      </w:r>
      <w:r w:rsidR="0047371E" w:rsidRPr="00152C50">
        <w:t xml:space="preserve">odst. </w:t>
      </w:r>
      <w:r w:rsidR="00FB20B9" w:rsidRPr="00152C50">
        <w:t>7.16</w:t>
      </w:r>
      <w:r w:rsidR="0047371E" w:rsidRPr="00152C50">
        <w:t>.</w:t>
      </w:r>
      <w:r w:rsidR="00FB20B9" w:rsidRPr="00152C50">
        <w:t>)</w:t>
      </w:r>
    </w:p>
    <w:p w14:paraId="09BAA334" w14:textId="13F266F6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EA3C3B" w:rsidRPr="00152C50">
        <w:rPr>
          <w:spacing w:val="-6"/>
          <w:szCs w:val="22"/>
        </w:rPr>
        <w:t>4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</w:t>
      </w:r>
      <w:r w:rsidR="009E050D" w:rsidRPr="009E050D">
        <w:t xml:space="preserve"> </w:t>
      </w:r>
      <w:r w:rsidR="009E050D">
        <w:t>prostřednictvím CDE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37A21CA6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</w:t>
      </w:r>
      <w:r w:rsidR="009E050D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 xml:space="preserve">a s </w:t>
      </w:r>
      <w:r w:rsidRPr="001008CF">
        <w:rPr>
          <w:rFonts w:ascii="Arial" w:hAnsi="Arial"/>
          <w:spacing w:val="-4"/>
          <w:lang w:eastAsia="cs-CZ"/>
        </w:rPr>
        <w:lastRenderedPageBreak/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29289E39" w:rsidR="00FB20B9" w:rsidRDefault="00FB20B9" w:rsidP="00F401E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="00B45DDC">
        <w:rPr>
          <w:rFonts w:cs="Arial"/>
          <w:spacing w:val="-4"/>
          <w:szCs w:val="22"/>
        </w:rPr>
        <w:t xml:space="preserve"> </w:t>
      </w:r>
      <w:r w:rsidRPr="00297268">
        <w:rPr>
          <w:rFonts w:cs="Arial"/>
          <w:szCs w:val="22"/>
        </w:rPr>
        <w:t xml:space="preserve">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="0032744F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669BB802" w14:textId="1C4B968F" w:rsidR="009E050D" w:rsidRDefault="009E050D" w:rsidP="00F401E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3E5F9648" w14:textId="77777777" w:rsidR="009E050D" w:rsidRPr="00894F74" w:rsidRDefault="009E050D" w:rsidP="009E050D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7415309A" w14:textId="77777777" w:rsidR="009E050D" w:rsidRPr="00894F74" w:rsidRDefault="009E050D" w:rsidP="009E050D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6BF68C16" w14:textId="77777777" w:rsidR="009E050D" w:rsidRPr="00894F74" w:rsidRDefault="009E050D" w:rsidP="009E050D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C6929D7" w14:textId="77777777" w:rsidR="009E050D" w:rsidRPr="00894F74" w:rsidRDefault="009E050D" w:rsidP="009E050D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19771511" w14:textId="77777777" w:rsidR="009E050D" w:rsidRPr="00894F74" w:rsidRDefault="009E050D" w:rsidP="009E050D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86FFFAD" w14:textId="77777777" w:rsidR="009E050D" w:rsidRPr="00894F74" w:rsidRDefault="009E050D" w:rsidP="009E050D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4BB042CC" w14:textId="77777777" w:rsidR="009E050D" w:rsidRPr="00894F74" w:rsidRDefault="009E050D" w:rsidP="009E050D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43FF79BB" w14:textId="77777777" w:rsidR="009E050D" w:rsidRPr="00894F74" w:rsidRDefault="009E050D" w:rsidP="009E050D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3AEDCACF" w14:textId="77777777" w:rsidR="009E050D" w:rsidRPr="00894F74" w:rsidRDefault="009E050D" w:rsidP="009E050D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4F8A32CD" w14:textId="77777777" w:rsidR="009E050D" w:rsidRPr="00894F74" w:rsidRDefault="009E050D" w:rsidP="009E050D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03CBC6E1" w14:textId="77777777" w:rsidR="009E050D" w:rsidRPr="00894F74" w:rsidRDefault="009E050D" w:rsidP="009E050D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3B996880" w14:textId="77777777" w:rsidR="009E050D" w:rsidRPr="00894F74" w:rsidRDefault="009E050D" w:rsidP="009E050D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074ACA46" w14:textId="77777777" w:rsidR="009E050D" w:rsidRPr="00894F74" w:rsidRDefault="009E050D" w:rsidP="009E050D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5B3E95C0" w14:textId="77777777" w:rsidR="009E050D" w:rsidRPr="00894F74" w:rsidRDefault="009E050D" w:rsidP="009E050D">
      <w:pPr>
        <w:jc w:val="both"/>
        <w:rPr>
          <w:rFonts w:ascii="Arial" w:hAnsi="Arial" w:cs="Arial"/>
        </w:rPr>
      </w:pPr>
    </w:p>
    <w:p w14:paraId="0B03DB0B" w14:textId="77777777" w:rsidR="009E050D" w:rsidRPr="00894F74" w:rsidRDefault="009E050D" w:rsidP="009E050D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2DF6E4E0" w14:textId="77777777" w:rsidR="009E050D" w:rsidRPr="00894F74" w:rsidRDefault="009E050D" w:rsidP="009E050D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73B741D5" w14:textId="77777777" w:rsidR="009E050D" w:rsidRPr="00894F74" w:rsidRDefault="009E050D" w:rsidP="009E050D">
      <w:pPr>
        <w:pStyle w:val="Odstavecseseznamem"/>
        <w:rPr>
          <w:rFonts w:ascii="Arial" w:hAnsi="Arial" w:cs="Arial"/>
        </w:rPr>
      </w:pPr>
    </w:p>
    <w:p w14:paraId="1ADBAD11" w14:textId="58658E20" w:rsidR="009E050D" w:rsidRPr="00FB20B9" w:rsidRDefault="009E050D" w:rsidP="00030B85">
      <w:pPr>
        <w:pStyle w:val="Bntext2"/>
        <w:numPr>
          <w:ilvl w:val="0"/>
          <w:numId w:val="46"/>
        </w:numPr>
        <w:rPr>
          <w:szCs w:val="22"/>
        </w:rPr>
      </w:pPr>
      <w:r w:rsidRPr="00894F74">
        <w:rPr>
          <w:rFonts w:cs="Arial"/>
        </w:rPr>
        <w:t>Předá samostatné soubory změnové dokumentace se zpracovanými prvky technické infrastruktury. Soubory budou členěny jednotlivě dle příslušných skupin prvků dle přílohy č. 1 vyhlášky DTM (rDTI v portálu IS DMVS), a to v členění dle dotčených subjektů (SUBJ). Soubor bude zpracován dle obsahu přílohy č. 1 vyhlášky DTM ve verzi výměnného formátu aktuálně nasazené na IS DMVS/IS DTM.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>bankovní záruky za řádné provedení díla dle odst. 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16D64B4D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15A56E71" w14:textId="77777777" w:rsidR="00CC06E8" w:rsidRDefault="00CC06E8" w:rsidP="00CC06E8">
      <w:pPr>
        <w:pStyle w:val="Odstavecseseznamem"/>
        <w:rPr>
          <w:rFonts w:ascii="Arial" w:hAnsi="Arial" w:cs="Arial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1D2628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7D9F5157"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7230F4" w:rsidRPr="00054628">
        <w:rPr>
          <w:rFonts w:ascii="Arial" w:hAnsi="Arial" w:cs="Arial"/>
        </w:rPr>
        <w:t>2</w:t>
      </w:r>
      <w:r w:rsidR="00212555" w:rsidRPr="00054628">
        <w:rPr>
          <w:rFonts w:ascii="Arial" w:hAnsi="Arial" w:cs="Arial"/>
        </w:rPr>
        <w:t xml:space="preserve"> </w:t>
      </w:r>
      <w:r w:rsidR="000078DC" w:rsidRPr="00054628">
        <w:rPr>
          <w:rFonts w:ascii="Arial" w:hAnsi="Arial" w:cs="Arial"/>
        </w:rPr>
        <w:t>0</w:t>
      </w:r>
      <w:r w:rsidR="000A314D" w:rsidRPr="00054628">
        <w:rPr>
          <w:rFonts w:ascii="Arial" w:hAnsi="Arial" w:cs="Arial"/>
        </w:rPr>
        <w:t>0</w:t>
      </w:r>
      <w:r w:rsidR="005324B3" w:rsidRPr="00054628">
        <w:rPr>
          <w:rFonts w:ascii="Arial" w:hAnsi="Arial" w:cs="Arial"/>
        </w:rPr>
        <w:t>0</w:t>
      </w:r>
      <w:r w:rsidRPr="00054628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77B3349E" w14:textId="77777777" w:rsidR="00C31E96" w:rsidRPr="00FE4566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627649C" w14:textId="77C137E0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Pr="00054628">
        <w:rPr>
          <w:rFonts w:ascii="Arial" w:hAnsi="Arial" w:cs="Arial"/>
        </w:rPr>
        <w:t xml:space="preserve">1 </w:t>
      </w:r>
      <w:r w:rsidR="000078DC" w:rsidRPr="00054628">
        <w:rPr>
          <w:rFonts w:ascii="Arial" w:hAnsi="Arial" w:cs="Arial"/>
        </w:rPr>
        <w:t>0</w:t>
      </w:r>
      <w:r w:rsidRPr="00054628">
        <w:rPr>
          <w:rFonts w:ascii="Arial" w:hAnsi="Arial" w:cs="Arial"/>
        </w:rPr>
        <w:t>00 000</w:t>
      </w:r>
      <w:r w:rsidRPr="00FD0CE9">
        <w:rPr>
          <w:rFonts w:ascii="Arial" w:hAnsi="Arial" w:cs="Arial"/>
        </w:rPr>
        <w:t xml:space="preserve"> Kč platnou po dobu záruky na stavební část díla dle odst. 9.2.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77777777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12.3.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4265D92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5DAC9980" w:rsid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7F57917D" w14:textId="77777777" w:rsidR="001D2628" w:rsidRPr="001D2628" w:rsidRDefault="001D2628" w:rsidP="001D2628">
      <w:pPr>
        <w:pStyle w:val="Odstavecseseznamem"/>
        <w:rPr>
          <w:rFonts w:ascii="Arial" w:hAnsi="Arial" w:cs="Arial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A728234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3C90BDF" w14:textId="77777777" w:rsidR="000078DC" w:rsidRDefault="000078DC" w:rsidP="000078DC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1C6B5B1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C2F2C" w14:textId="77777777" w:rsidR="00A43C3E" w:rsidRDefault="00A43C3E">
      <w:r>
        <w:separator/>
      </w:r>
    </w:p>
  </w:endnote>
  <w:endnote w:type="continuationSeparator" w:id="0">
    <w:p w14:paraId="5AA4EAEF" w14:textId="77777777" w:rsidR="00A43C3E" w:rsidRDefault="00A4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A43C3E" w:rsidRDefault="00A43C3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A43C3E" w:rsidRDefault="00A43C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4CB9C0E2" w:rsidR="00A43C3E" w:rsidRDefault="00A43C3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D7338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D7338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E64EE5E" w:rsidR="00A43C3E" w:rsidRDefault="00A43C3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D733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D7338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54E7D" w14:textId="77777777" w:rsidR="00A43C3E" w:rsidRDefault="00A43C3E">
      <w:r>
        <w:separator/>
      </w:r>
    </w:p>
  </w:footnote>
  <w:footnote w:type="continuationSeparator" w:id="0">
    <w:p w14:paraId="2914B656" w14:textId="77777777" w:rsidR="00A43C3E" w:rsidRDefault="00A43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A43C3E" w:rsidRPr="00BB2481" w:rsidRDefault="00A43C3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A43C3E" w:rsidRPr="00BB2481" w:rsidRDefault="00A43C3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A43C3E" w:rsidRDefault="00A43C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A664D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078DC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0B85"/>
    <w:rsid w:val="00032193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628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718"/>
    <w:rsid w:val="00081947"/>
    <w:rsid w:val="000837A0"/>
    <w:rsid w:val="000851F6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1B1F"/>
    <w:rsid w:val="000B43F0"/>
    <w:rsid w:val="000B48FA"/>
    <w:rsid w:val="000B67A4"/>
    <w:rsid w:val="000C116A"/>
    <w:rsid w:val="000C2C11"/>
    <w:rsid w:val="000C592E"/>
    <w:rsid w:val="000C67B6"/>
    <w:rsid w:val="000D45BC"/>
    <w:rsid w:val="000D6090"/>
    <w:rsid w:val="000D7338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493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3E7F"/>
    <w:rsid w:val="001C5A45"/>
    <w:rsid w:val="001C5B75"/>
    <w:rsid w:val="001C5C21"/>
    <w:rsid w:val="001C6A75"/>
    <w:rsid w:val="001C74E5"/>
    <w:rsid w:val="001D10BD"/>
    <w:rsid w:val="001D1E0E"/>
    <w:rsid w:val="001D2628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3EC1"/>
    <w:rsid w:val="00254698"/>
    <w:rsid w:val="0025549A"/>
    <w:rsid w:val="002557C0"/>
    <w:rsid w:val="00256108"/>
    <w:rsid w:val="00256AB1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2F57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2744F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4427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2A3F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A7D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1592"/>
    <w:rsid w:val="005B15ED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46A"/>
    <w:rsid w:val="005F468D"/>
    <w:rsid w:val="005F7A73"/>
    <w:rsid w:val="00602319"/>
    <w:rsid w:val="00606D3D"/>
    <w:rsid w:val="0061082A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78B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0E4E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0F57"/>
    <w:rsid w:val="007C34A7"/>
    <w:rsid w:val="007C5C34"/>
    <w:rsid w:val="007C5D13"/>
    <w:rsid w:val="007C5D89"/>
    <w:rsid w:val="007D0353"/>
    <w:rsid w:val="007D1921"/>
    <w:rsid w:val="007D3EF9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38CA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2A95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3B"/>
    <w:rsid w:val="00880647"/>
    <w:rsid w:val="0088140C"/>
    <w:rsid w:val="0088283A"/>
    <w:rsid w:val="00885A1E"/>
    <w:rsid w:val="00885ECA"/>
    <w:rsid w:val="00891B85"/>
    <w:rsid w:val="00892F39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39F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050D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3C3E"/>
    <w:rsid w:val="00A47ADD"/>
    <w:rsid w:val="00A47B03"/>
    <w:rsid w:val="00A50277"/>
    <w:rsid w:val="00A50C9F"/>
    <w:rsid w:val="00A51417"/>
    <w:rsid w:val="00A514C2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0B1C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5DDC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5AC8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2BB1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3DD4"/>
    <w:rsid w:val="00C34101"/>
    <w:rsid w:val="00C360F0"/>
    <w:rsid w:val="00C36423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034"/>
    <w:rsid w:val="00CB6D3B"/>
    <w:rsid w:val="00CC06E8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076E8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4003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58EF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4BB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0FED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074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9E05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09315-F6EF-4CCF-9DA9-83230E55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22</Pages>
  <Words>10254</Words>
  <Characters>60501</Characters>
  <Application>Microsoft Office Word</Application>
  <DocSecurity>0</DocSecurity>
  <Lines>504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97</cp:revision>
  <cp:lastPrinted>2021-01-28T06:21:00Z</cp:lastPrinted>
  <dcterms:created xsi:type="dcterms:W3CDTF">2021-01-28T06:15:00Z</dcterms:created>
  <dcterms:modified xsi:type="dcterms:W3CDTF">2024-08-20T12:00:00Z</dcterms:modified>
</cp:coreProperties>
</file>